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40" w:firstLineChars="200"/>
        <w:rPr>
          <w:rStyle w:val="19"/>
          <w:rFonts w:hint="eastAsia" w:ascii="仿宋" w:hAnsi="仿宋" w:eastAsia="仿宋" w:cs="仿宋"/>
          <w:b w:val="0"/>
          <w:color w:val="000000" w:themeColor="text1"/>
          <w:spacing w:val="-4"/>
          <w:sz w:val="32"/>
          <w:szCs w:val="32"/>
          <w:lang w:eastAsia="zh-CN"/>
        </w:rPr>
      </w:pPr>
      <w:r>
        <w:rPr>
          <w:rFonts w:hint="eastAsia" w:ascii="宋体" w:hAnsi="宋体" w:cs="宋体"/>
          <w:color w:val="000000" w:themeColor="text1"/>
          <w:kern w:val="0"/>
          <w:sz w:val="32"/>
          <w:szCs w:val="32"/>
          <w:lang w:val="en-US" w:eastAsia="zh-CN" w:bidi="ar"/>
        </w:rPr>
        <w:t>英吉沙县水利局</w:t>
      </w:r>
      <w:r>
        <w:rPr>
          <w:rStyle w:val="19"/>
          <w:rFonts w:hint="eastAsia" w:ascii="仿宋" w:hAnsi="仿宋" w:eastAsia="仿宋" w:cs="仿宋"/>
          <w:b w:val="0"/>
          <w:color w:val="000000" w:themeColor="text1"/>
          <w:spacing w:val="-4"/>
          <w:sz w:val="32"/>
          <w:szCs w:val="32"/>
        </w:rPr>
        <w:t>位于</w:t>
      </w:r>
      <w:r>
        <w:rPr>
          <w:rStyle w:val="19"/>
          <w:rFonts w:hint="eastAsia" w:ascii="仿宋" w:hAnsi="仿宋" w:eastAsia="仿宋" w:cs="仿宋"/>
          <w:b w:val="0"/>
          <w:color w:val="000000" w:themeColor="text1"/>
          <w:spacing w:val="-4"/>
          <w:sz w:val="32"/>
          <w:szCs w:val="32"/>
          <w:lang w:eastAsia="zh-CN"/>
        </w:rPr>
        <w:t>克孜勒路</w:t>
      </w:r>
      <w:r>
        <w:rPr>
          <w:rStyle w:val="19"/>
          <w:rFonts w:hint="eastAsia" w:ascii="仿宋" w:hAnsi="仿宋" w:eastAsia="仿宋" w:cs="仿宋"/>
          <w:b w:val="0"/>
          <w:color w:val="000000" w:themeColor="text1"/>
          <w:spacing w:val="-4"/>
          <w:sz w:val="32"/>
          <w:szCs w:val="32"/>
          <w:lang w:val="en-US" w:eastAsia="zh-CN"/>
        </w:rPr>
        <w:t>18</w:t>
      </w:r>
      <w:r>
        <w:rPr>
          <w:rStyle w:val="19"/>
          <w:rFonts w:hint="eastAsia" w:ascii="仿宋" w:hAnsi="仿宋" w:eastAsia="仿宋" w:cs="仿宋"/>
          <w:b w:val="0"/>
          <w:color w:val="000000" w:themeColor="text1"/>
          <w:spacing w:val="-4"/>
          <w:sz w:val="32"/>
          <w:szCs w:val="32"/>
        </w:rPr>
        <w:t>号，承担着全县农田水利基本建设、田间灌溉管理、防汛抗旱、农村防病改水等工作。水利局下设水管总站、工程建设与管理站、防病改水办公室、农村供水总站、防汛抗旱办公室、水政监察大队、渔政监察大队</w:t>
      </w:r>
      <w:r>
        <w:rPr>
          <w:rStyle w:val="19"/>
          <w:rFonts w:hint="eastAsia" w:ascii="仿宋" w:hAnsi="仿宋" w:eastAsia="仿宋" w:cs="仿宋"/>
          <w:b w:val="0"/>
          <w:color w:val="000000" w:themeColor="text1"/>
          <w:spacing w:val="-4"/>
          <w:sz w:val="32"/>
          <w:szCs w:val="32"/>
          <w:lang w:eastAsia="zh-CN"/>
        </w:rPr>
        <w:t>、</w:t>
      </w:r>
      <w:r>
        <w:rPr>
          <w:rStyle w:val="19"/>
          <w:rFonts w:hint="eastAsia" w:ascii="仿宋" w:hAnsi="仿宋" w:eastAsia="仿宋" w:cs="仿宋"/>
          <w:b w:val="0"/>
          <w:color w:val="000000" w:themeColor="text1"/>
          <w:spacing w:val="-4"/>
          <w:sz w:val="32"/>
          <w:szCs w:val="32"/>
        </w:rPr>
        <w:t>水管总站下设</w:t>
      </w:r>
      <w:r>
        <w:rPr>
          <w:rStyle w:val="19"/>
          <w:rFonts w:hint="eastAsia" w:ascii="仿宋" w:hAnsi="仿宋" w:eastAsia="仿宋" w:cs="仿宋"/>
          <w:b w:val="0"/>
          <w:color w:val="000000" w:themeColor="text1"/>
          <w:spacing w:val="-4"/>
          <w:sz w:val="32"/>
          <w:szCs w:val="32"/>
          <w:lang w:val="en-US" w:eastAsia="zh-CN"/>
        </w:rPr>
        <w:t>17</w:t>
      </w:r>
      <w:r>
        <w:rPr>
          <w:rStyle w:val="19"/>
          <w:rFonts w:hint="eastAsia" w:ascii="仿宋" w:hAnsi="仿宋" w:eastAsia="仿宋" w:cs="仿宋"/>
          <w:b w:val="0"/>
          <w:color w:val="000000" w:themeColor="text1"/>
          <w:spacing w:val="-4"/>
          <w:sz w:val="32"/>
          <w:szCs w:val="32"/>
        </w:rPr>
        <w:t>个乡镇水管站、所、负责管理全县</w:t>
      </w:r>
      <w:r>
        <w:rPr>
          <w:rStyle w:val="19"/>
          <w:rFonts w:hint="eastAsia" w:ascii="仿宋" w:hAnsi="仿宋" w:eastAsia="仿宋" w:cs="仿宋"/>
          <w:b w:val="0"/>
          <w:color w:val="000000" w:themeColor="text1"/>
          <w:spacing w:val="-4"/>
          <w:sz w:val="32"/>
          <w:szCs w:val="32"/>
          <w:lang w:eastAsia="zh-CN"/>
        </w:rPr>
        <w:t>。</w:t>
      </w:r>
    </w:p>
    <w:p>
      <w:pPr>
        <w:adjustRightInd w:val="0"/>
        <w:snapToGrid w:val="0"/>
        <w:spacing w:line="560" w:lineRule="exact"/>
        <w:ind w:firstLine="624" w:firstLineChars="200"/>
        <w:rPr>
          <w:rStyle w:val="19"/>
          <w:rFonts w:hint="eastAsia" w:ascii="仿宋" w:hAnsi="仿宋" w:eastAsia="仿宋" w:cs="仿宋"/>
          <w:b w:val="0"/>
          <w:color w:val="000000" w:themeColor="text1"/>
          <w:spacing w:val="-4"/>
          <w:sz w:val="32"/>
          <w:szCs w:val="32"/>
        </w:rPr>
      </w:pPr>
      <w:r>
        <w:rPr>
          <w:rStyle w:val="19"/>
          <w:rFonts w:hint="eastAsia" w:ascii="仿宋" w:hAnsi="仿宋" w:eastAsia="仿宋" w:cs="仿宋"/>
          <w:b w:val="0"/>
          <w:color w:val="000000" w:themeColor="text1"/>
          <w:spacing w:val="-4"/>
          <w:sz w:val="32"/>
          <w:szCs w:val="32"/>
          <w:lang w:eastAsia="zh-CN"/>
        </w:rPr>
        <w:t>英吉沙</w:t>
      </w:r>
      <w:r>
        <w:rPr>
          <w:rStyle w:val="19"/>
          <w:rFonts w:hint="eastAsia" w:ascii="仿宋" w:hAnsi="仿宋" w:eastAsia="仿宋" w:cs="仿宋"/>
          <w:b w:val="0"/>
          <w:color w:val="000000" w:themeColor="text1"/>
          <w:spacing w:val="-4"/>
          <w:sz w:val="32"/>
          <w:szCs w:val="32"/>
        </w:rPr>
        <w:t>县公益性水利工程全部由县水管总站统一管理，水管总站下设</w:t>
      </w:r>
      <w:r>
        <w:rPr>
          <w:rStyle w:val="19"/>
          <w:rFonts w:hint="eastAsia" w:ascii="仿宋" w:hAnsi="仿宋" w:eastAsia="仿宋" w:cs="仿宋"/>
          <w:b w:val="0"/>
          <w:color w:val="000000" w:themeColor="text1"/>
          <w:spacing w:val="-4"/>
          <w:sz w:val="32"/>
          <w:szCs w:val="32"/>
          <w:lang w:val="en-US" w:eastAsia="zh-CN"/>
        </w:rPr>
        <w:t>17</w:t>
      </w:r>
      <w:r>
        <w:rPr>
          <w:rStyle w:val="19"/>
          <w:rFonts w:hint="eastAsia" w:ascii="仿宋" w:hAnsi="仿宋" w:eastAsia="仿宋" w:cs="仿宋"/>
          <w:b w:val="0"/>
          <w:color w:val="000000" w:themeColor="text1"/>
          <w:spacing w:val="-4"/>
          <w:sz w:val="32"/>
          <w:szCs w:val="32"/>
        </w:rPr>
        <w:t>个乡镇水管站（所），其中下设</w:t>
      </w:r>
      <w:r>
        <w:rPr>
          <w:rStyle w:val="19"/>
          <w:rFonts w:hint="eastAsia" w:ascii="仿宋" w:hAnsi="仿宋" w:eastAsia="仿宋" w:cs="仿宋"/>
          <w:b w:val="0"/>
          <w:color w:val="000000" w:themeColor="text1"/>
          <w:spacing w:val="-4"/>
          <w:sz w:val="32"/>
          <w:szCs w:val="32"/>
          <w:lang w:val="en-US" w:eastAsia="zh-CN"/>
        </w:rPr>
        <w:t>4</w:t>
      </w:r>
      <w:r>
        <w:rPr>
          <w:rStyle w:val="19"/>
          <w:rFonts w:hint="eastAsia" w:ascii="仿宋" w:hAnsi="仿宋" w:eastAsia="仿宋" w:cs="仿宋"/>
          <w:b w:val="0"/>
          <w:color w:val="000000" w:themeColor="text1"/>
          <w:spacing w:val="-4"/>
          <w:sz w:val="32"/>
          <w:szCs w:val="32"/>
        </w:rPr>
        <w:t>个</w:t>
      </w:r>
      <w:r>
        <w:rPr>
          <w:rStyle w:val="19"/>
          <w:rFonts w:hint="eastAsia" w:ascii="仿宋" w:hAnsi="仿宋" w:eastAsia="仿宋" w:cs="仿宋"/>
          <w:b w:val="0"/>
          <w:color w:val="000000" w:themeColor="text1"/>
          <w:spacing w:val="-4"/>
          <w:sz w:val="32"/>
          <w:szCs w:val="32"/>
          <w:lang w:eastAsia="zh-CN"/>
        </w:rPr>
        <w:t>流域站</w:t>
      </w:r>
      <w:r>
        <w:rPr>
          <w:rStyle w:val="19"/>
          <w:rFonts w:hint="eastAsia" w:ascii="仿宋" w:hAnsi="仿宋" w:eastAsia="仿宋" w:cs="仿宋"/>
          <w:b w:val="0"/>
          <w:color w:val="000000" w:themeColor="text1"/>
          <w:spacing w:val="-4"/>
          <w:sz w:val="32"/>
          <w:szCs w:val="32"/>
        </w:rPr>
        <w:t>、1</w:t>
      </w:r>
      <w:r>
        <w:rPr>
          <w:rStyle w:val="19"/>
          <w:rFonts w:hint="eastAsia" w:ascii="仿宋" w:hAnsi="仿宋" w:eastAsia="仿宋" w:cs="仿宋"/>
          <w:b w:val="0"/>
          <w:color w:val="000000" w:themeColor="text1"/>
          <w:spacing w:val="-4"/>
          <w:sz w:val="32"/>
          <w:szCs w:val="32"/>
          <w:lang w:val="en-US" w:eastAsia="zh-CN"/>
        </w:rPr>
        <w:t>3</w:t>
      </w:r>
      <w:r>
        <w:rPr>
          <w:rStyle w:val="19"/>
          <w:rFonts w:hint="eastAsia" w:ascii="仿宋" w:hAnsi="仿宋" w:eastAsia="仿宋" w:cs="仿宋"/>
          <w:b w:val="0"/>
          <w:color w:val="000000" w:themeColor="text1"/>
          <w:spacing w:val="-4"/>
          <w:sz w:val="32"/>
          <w:szCs w:val="32"/>
        </w:rPr>
        <w:t>个乡镇水管所。</w:t>
      </w:r>
      <w:bookmarkStart w:id="0" w:name="_GoBack"/>
      <w:bookmarkEnd w:id="0"/>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Style w:val="19"/>
          <w:rFonts w:hint="eastAsia" w:ascii="仿宋" w:hAnsi="仿宋" w:eastAsia="仿宋" w:cs="仿宋"/>
          <w:b w:val="0"/>
          <w:color w:val="000000" w:themeColor="text1"/>
          <w:spacing w:val="-4"/>
          <w:sz w:val="32"/>
          <w:szCs w:val="32"/>
          <w:lang w:val="en-US" w:eastAsia="zh-CN"/>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9"/>
          <w:rFonts w:hint="eastAsia" w:ascii="仿宋" w:hAnsi="仿宋" w:eastAsia="仿宋" w:cs="仿宋"/>
          <w:b w:val="0"/>
          <w:color w:val="000000" w:themeColor="text1"/>
          <w:spacing w:val="-4"/>
          <w:sz w:val="32"/>
          <w:szCs w:val="32"/>
          <w:lang w:val="en-US" w:eastAsia="zh-CN"/>
        </w:rPr>
      </w:pPr>
      <w:r>
        <w:rPr>
          <w:rStyle w:val="19"/>
          <w:rFonts w:hint="eastAsia" w:ascii="仿宋" w:hAnsi="仿宋" w:eastAsia="仿宋" w:cs="仿宋"/>
          <w:b w:val="0"/>
          <w:color w:val="000000" w:themeColor="text1"/>
          <w:spacing w:val="-4"/>
          <w:sz w:val="32"/>
          <w:szCs w:val="32"/>
          <w:lang w:val="en-US" w:eastAsia="zh-CN"/>
        </w:rPr>
        <w:t>艾古斯乡霍依拉麦力斯村渠道支渠1.542km，一斗渠1.091km，二斗渠0.498km，三斗渠0.411km，防渗总长度3.542km，配套渠系建筑物61座，其中新、重建节制分水闸26座，农桥18座，无节制分水闸14座，汇入口3座。渠道设计流量为0.6m³/s。闸门及其配套设施共计74套。</w:t>
      </w:r>
    </w:p>
    <w:p>
      <w:pPr>
        <w:adjustRightInd w:val="0"/>
        <w:snapToGrid w:val="0"/>
        <w:spacing w:line="560" w:lineRule="exact"/>
        <w:ind w:firstLine="624" w:firstLineChars="200"/>
        <w:rPr>
          <w:rStyle w:val="19"/>
          <w:rFonts w:hint="eastAsia" w:ascii="仿宋" w:hAnsi="仿宋" w:eastAsia="仿宋" w:cs="仿宋"/>
          <w:b w:val="0"/>
          <w:color w:val="000000" w:themeColor="text1"/>
          <w:spacing w:val="-4"/>
          <w:sz w:val="32"/>
          <w:szCs w:val="32"/>
          <w:lang w:val="en-US" w:eastAsia="zh-CN"/>
        </w:rPr>
      </w:pPr>
      <w:r>
        <w:rPr>
          <w:rStyle w:val="19"/>
          <w:rFonts w:hint="eastAsia" w:ascii="仿宋" w:hAnsi="仿宋" w:eastAsia="仿宋" w:cs="仿宋"/>
          <w:b w:val="0"/>
          <w:color w:val="000000" w:themeColor="text1"/>
          <w:spacing w:val="-4"/>
          <w:sz w:val="32"/>
          <w:szCs w:val="32"/>
          <w:lang w:val="en-US" w:eastAsia="zh-CN"/>
        </w:rPr>
        <w:t>本项目工程概算总投资290万元。</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Style w:val="19"/>
          <w:rFonts w:hint="eastAsia" w:ascii="仿宋" w:hAnsi="仿宋" w:eastAsia="仿宋" w:cs="仿宋"/>
          <w:b w:val="0"/>
          <w:color w:val="000000" w:themeColor="text1"/>
          <w:spacing w:val="-4"/>
          <w:sz w:val="32"/>
          <w:szCs w:val="32"/>
          <w:lang w:val="en-US" w:eastAsia="zh-CN"/>
        </w:rPr>
      </w:pPr>
      <w:r>
        <w:rPr>
          <w:rStyle w:val="19"/>
          <w:rFonts w:hint="eastAsia" w:ascii="仿宋" w:hAnsi="仿宋" w:eastAsia="仿宋" w:cs="仿宋"/>
          <w:b w:val="0"/>
          <w:color w:val="000000" w:themeColor="text1"/>
          <w:spacing w:val="-4"/>
          <w:sz w:val="32"/>
          <w:szCs w:val="32"/>
          <w:lang w:val="en-US" w:eastAsia="zh-CN"/>
        </w:rPr>
        <w:t>本项目性质为防渗渠建设。</w:t>
      </w:r>
    </w:p>
    <w:p>
      <w:pPr>
        <w:numPr>
          <w:ilvl w:val="0"/>
          <w:numId w:val="1"/>
        </w:numPr>
        <w:adjustRightInd w:val="0"/>
        <w:snapToGrid w:val="0"/>
        <w:spacing w:line="560" w:lineRule="exact"/>
        <w:ind w:firstLine="627" w:firstLineChars="200"/>
        <w:rPr>
          <w:rFonts w:hint="eastAsia" w:ascii="仿宋" w:hAnsi="仿宋" w:eastAsia="仿宋"/>
          <w:b/>
          <w:bCs/>
          <w:spacing w:val="-4"/>
          <w:sz w:val="32"/>
          <w:szCs w:val="32"/>
        </w:rPr>
      </w:pPr>
      <w:r>
        <w:rPr>
          <w:rFonts w:hint="eastAsia" w:ascii="仿宋" w:hAnsi="仿宋" w:eastAsia="仿宋"/>
          <w:b/>
          <w:bCs/>
          <w:spacing w:val="-4"/>
          <w:sz w:val="32"/>
          <w:szCs w:val="32"/>
        </w:rPr>
        <w:t>项目用途及范围</w:t>
      </w:r>
    </w:p>
    <w:p>
      <w:pPr>
        <w:adjustRightInd w:val="0"/>
        <w:snapToGrid w:val="0"/>
        <w:spacing w:line="560" w:lineRule="exact"/>
        <w:ind w:firstLine="624" w:firstLineChars="200"/>
        <w:rPr>
          <w:rStyle w:val="19"/>
          <w:rFonts w:hint="eastAsia" w:ascii="仿宋" w:hAnsi="仿宋" w:eastAsia="仿宋" w:cs="仿宋"/>
          <w:b w:val="0"/>
          <w:color w:val="000000" w:themeColor="text1"/>
          <w:spacing w:val="-4"/>
          <w:sz w:val="32"/>
          <w:szCs w:val="32"/>
          <w:lang w:val="en-US" w:eastAsia="zh-CN"/>
        </w:rPr>
      </w:pPr>
      <w:r>
        <w:rPr>
          <w:rStyle w:val="19"/>
          <w:rFonts w:hint="eastAsia" w:ascii="仿宋" w:hAnsi="仿宋" w:eastAsia="仿宋" w:cs="仿宋"/>
          <w:b w:val="0"/>
          <w:color w:val="000000" w:themeColor="text1"/>
          <w:spacing w:val="-4"/>
          <w:sz w:val="32"/>
          <w:szCs w:val="32"/>
          <w:lang w:val="en-US" w:eastAsia="zh-CN"/>
        </w:rPr>
        <w:t>艾古斯乡霍依拉麦力斯村渠道支渠1.542km，一斗渠1.091km，二斗渠0.498km，三斗渠0.411km，防渗总长度3.542km，配套渠系建筑物61座，其中新、重建节制分水闸26座，农桥18座，无节制分水闸14座，汇入口3座。渠道设计流量为0.6m³/s。闸门及其配套设施共计74套。</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Style w:val="19"/>
          <w:rFonts w:hint="eastAsia" w:ascii="仿宋" w:hAnsi="仿宋" w:eastAsia="仿宋" w:cs="仿宋"/>
          <w:b w:val="0"/>
          <w:color w:val="000000" w:themeColor="text1"/>
          <w:spacing w:val="-4"/>
          <w:sz w:val="32"/>
          <w:szCs w:val="32"/>
          <w:lang w:val="en-US" w:eastAsia="zh-CN"/>
        </w:rPr>
        <w:t>艾古斯乡霍依拉麦力斯村渠道防渗</w:t>
      </w:r>
      <w:r>
        <w:rPr>
          <w:rFonts w:hint="eastAsia" w:ascii="仿宋" w:hAnsi="仿宋" w:eastAsia="仿宋"/>
          <w:color w:val="000000" w:themeColor="text1"/>
          <w:sz w:val="32"/>
          <w:szCs w:val="32"/>
          <w:lang w:eastAsia="zh-CN"/>
        </w:rPr>
        <w:t>工程</w:t>
      </w:r>
      <w:r>
        <w:rPr>
          <w:rFonts w:hint="eastAsia" w:ascii="仿宋" w:hAnsi="仿宋" w:eastAsia="仿宋"/>
          <w:bCs/>
          <w:color w:val="000000" w:themeColor="text1"/>
          <w:spacing w:val="-4"/>
          <w:sz w:val="32"/>
          <w:szCs w:val="32"/>
        </w:rPr>
        <w:t>项目</w:t>
      </w:r>
      <w:r>
        <w:rPr>
          <w:rFonts w:hint="eastAsia" w:ascii="仿宋" w:hAnsi="仿宋" w:eastAsia="仿宋"/>
          <w:bCs/>
          <w:color w:val="000000" w:themeColor="text1"/>
          <w:spacing w:val="-4"/>
          <w:sz w:val="32"/>
          <w:szCs w:val="32"/>
          <w:lang w:eastAsia="zh-CN"/>
        </w:rPr>
        <w:t>投资额为</w:t>
      </w:r>
      <w:r>
        <w:rPr>
          <w:rFonts w:hint="eastAsia" w:ascii="仿宋" w:hAnsi="仿宋" w:eastAsia="仿宋"/>
          <w:bCs/>
          <w:color w:val="000000" w:themeColor="text1"/>
          <w:spacing w:val="-4"/>
          <w:sz w:val="32"/>
          <w:szCs w:val="32"/>
          <w:lang w:val="en-US" w:eastAsia="zh-CN"/>
        </w:rPr>
        <w:t>290</w:t>
      </w:r>
      <w:r>
        <w:rPr>
          <w:rFonts w:hint="eastAsia" w:ascii="仿宋" w:hAnsi="仿宋" w:eastAsia="仿宋"/>
          <w:bCs/>
          <w:color w:val="000000" w:themeColor="text1"/>
          <w:spacing w:val="-4"/>
          <w:sz w:val="32"/>
          <w:szCs w:val="32"/>
        </w:rPr>
        <w:t>万元，2018年实际收到预算资金</w:t>
      </w:r>
      <w:r>
        <w:rPr>
          <w:rFonts w:hint="eastAsia" w:ascii="仿宋" w:hAnsi="仿宋" w:eastAsia="仿宋"/>
          <w:bCs/>
          <w:color w:val="000000" w:themeColor="text1"/>
          <w:spacing w:val="-4"/>
          <w:sz w:val="32"/>
          <w:szCs w:val="32"/>
          <w:lang w:val="en-US" w:eastAsia="zh-CN"/>
        </w:rPr>
        <w:t>48.82</w:t>
      </w:r>
      <w:r>
        <w:rPr>
          <w:rFonts w:hint="eastAsia" w:ascii="仿宋" w:hAnsi="仿宋" w:eastAsia="仿宋"/>
          <w:bCs/>
          <w:color w:val="000000" w:themeColor="text1"/>
          <w:spacing w:val="-4"/>
          <w:sz w:val="32"/>
          <w:szCs w:val="32"/>
        </w:rPr>
        <w:t>万元。</w:t>
      </w:r>
    </w:p>
    <w:p>
      <w:pPr>
        <w:adjustRightInd w:val="0"/>
        <w:snapToGrid w:val="0"/>
        <w:spacing w:line="560" w:lineRule="exact"/>
        <w:ind w:firstLine="627" w:firstLineChars="200"/>
        <w:outlineLvl w:val="0"/>
        <w:rPr>
          <w:rStyle w:val="19"/>
          <w:rFonts w:ascii="仿宋" w:hAnsi="仿宋" w:eastAsia="仿宋"/>
          <w:b w:val="0"/>
          <w:color w:val="FF0000"/>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rPr>
        <w:t>本项目</w:t>
      </w:r>
      <w:r>
        <w:rPr>
          <w:rFonts w:hint="eastAsia" w:ascii="仿宋" w:hAnsi="仿宋" w:eastAsia="仿宋"/>
          <w:bCs/>
          <w:color w:val="000000" w:themeColor="text1"/>
          <w:spacing w:val="-4"/>
          <w:sz w:val="32"/>
          <w:szCs w:val="32"/>
          <w:lang w:eastAsia="zh-CN"/>
        </w:rPr>
        <w:t>投资额</w:t>
      </w:r>
      <w:r>
        <w:rPr>
          <w:rFonts w:hint="eastAsia" w:ascii="仿宋" w:hAnsi="仿宋" w:eastAsia="仿宋"/>
          <w:bCs/>
          <w:color w:val="000000" w:themeColor="text1"/>
          <w:spacing w:val="-4"/>
          <w:sz w:val="32"/>
          <w:szCs w:val="32"/>
          <w:lang w:val="en-US" w:eastAsia="zh-CN"/>
        </w:rPr>
        <w:t>290</w:t>
      </w:r>
      <w:r>
        <w:rPr>
          <w:rFonts w:hint="eastAsia" w:ascii="仿宋" w:hAnsi="仿宋" w:eastAsia="仿宋"/>
          <w:bCs/>
          <w:color w:val="000000" w:themeColor="text1"/>
          <w:spacing w:val="-4"/>
          <w:sz w:val="32"/>
          <w:szCs w:val="32"/>
        </w:rPr>
        <w:t>万元，预算执行率</w:t>
      </w:r>
      <w:r>
        <w:rPr>
          <w:rFonts w:hint="eastAsia" w:ascii="仿宋" w:hAnsi="仿宋" w:eastAsia="仿宋"/>
          <w:bCs/>
          <w:color w:val="000000" w:themeColor="text1"/>
          <w:spacing w:val="-4"/>
          <w:sz w:val="32"/>
          <w:szCs w:val="32"/>
          <w:lang w:val="en-US" w:eastAsia="zh-CN"/>
        </w:rPr>
        <w:t>100</w:t>
      </w:r>
      <w:r>
        <w:rPr>
          <w:rFonts w:ascii="仿宋" w:hAnsi="仿宋" w:eastAsia="仿宋"/>
          <w:bCs/>
          <w:color w:val="000000" w:themeColor="text1"/>
          <w:spacing w:val="-4"/>
          <w:sz w:val="32"/>
          <w:szCs w:val="32"/>
        </w:rPr>
        <w:t>%</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分析内容包括：①已制定具有相应的项目资金管理办法；②项目资金管理办法符合国家财经法规和财务管理制度以及有关资金管理办法的规定；③资金的拨付有完整的审批程序和手续；④</w:t>
      </w:r>
      <w:r>
        <w:rPr>
          <w:rFonts w:hint="eastAsia" w:ascii="仿宋" w:hAnsi="仿宋" w:eastAsia="仿宋"/>
          <w:bCs/>
          <w:color w:val="000000" w:themeColor="text1"/>
          <w:spacing w:val="-4"/>
          <w:sz w:val="32"/>
          <w:szCs w:val="32"/>
          <w:lang w:eastAsia="zh-CN"/>
        </w:rPr>
        <w:t>不</w:t>
      </w:r>
      <w:r>
        <w:rPr>
          <w:rFonts w:hint="eastAsia" w:ascii="仿宋" w:hAnsi="仿宋" w:eastAsia="仿宋"/>
          <w:bCs/>
          <w:color w:val="000000" w:themeColor="text1"/>
          <w:spacing w:val="-4"/>
          <w:sz w:val="32"/>
          <w:szCs w:val="32"/>
        </w:rPr>
        <w:t>存在截留、挤占、挪用、虚列支出等情况；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hint="eastAsia"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240" w:lineRule="atLeast"/>
        <w:ind w:firstLine="624" w:firstLineChars="200"/>
        <w:rPr>
          <w:rFonts w:hint="eastAsia" w:ascii="宋体" w:hAnsi="宋体"/>
          <w:color w:val="000000"/>
          <w:sz w:val="32"/>
          <w:szCs w:val="32"/>
        </w:rPr>
      </w:pPr>
      <w:r>
        <w:rPr>
          <w:rStyle w:val="19"/>
          <w:rFonts w:hint="eastAsia" w:ascii="仿宋" w:hAnsi="仿宋" w:eastAsia="仿宋" w:cs="仿宋"/>
          <w:b w:val="0"/>
          <w:color w:val="000000" w:themeColor="text1"/>
          <w:spacing w:val="-4"/>
          <w:sz w:val="32"/>
          <w:szCs w:val="32"/>
          <w:lang w:val="en-US" w:eastAsia="zh-CN"/>
        </w:rPr>
        <w:t>艾古斯乡霍依拉麦力斯村渠道防渗</w:t>
      </w:r>
      <w:r>
        <w:rPr>
          <w:rFonts w:hint="eastAsia" w:ascii="仿宋" w:hAnsi="仿宋" w:eastAsia="仿宋"/>
          <w:color w:val="000000" w:themeColor="text1"/>
          <w:sz w:val="32"/>
          <w:szCs w:val="32"/>
          <w:lang w:eastAsia="zh-CN"/>
        </w:rPr>
        <w:t>工程</w:t>
      </w:r>
      <w:r>
        <w:rPr>
          <w:rFonts w:hint="eastAsia" w:ascii="仿宋" w:hAnsi="仿宋" w:eastAsia="仿宋"/>
          <w:bCs/>
          <w:color w:val="000000" w:themeColor="text1"/>
          <w:spacing w:val="-4"/>
          <w:sz w:val="32"/>
          <w:szCs w:val="32"/>
        </w:rPr>
        <w:t>项目</w:t>
      </w:r>
      <w:r>
        <w:rPr>
          <w:rFonts w:hint="eastAsia" w:ascii="宋体" w:hAnsi="宋体"/>
          <w:color w:val="000000"/>
          <w:sz w:val="32"/>
          <w:szCs w:val="32"/>
          <w:lang w:eastAsia="zh-CN"/>
        </w:rPr>
        <w:t>资金来源为中央财政预算内以工代赈资金</w:t>
      </w:r>
      <w:r>
        <w:rPr>
          <w:rFonts w:hint="eastAsia" w:ascii="宋体" w:hAnsi="宋体"/>
          <w:color w:val="000000"/>
          <w:sz w:val="32"/>
          <w:szCs w:val="32"/>
        </w:rPr>
        <w:t>。</w:t>
      </w:r>
      <w:r>
        <w:rPr>
          <w:rFonts w:hint="eastAsia" w:ascii="宋体" w:hAnsi="宋体"/>
          <w:color w:val="000000"/>
          <w:sz w:val="32"/>
          <w:szCs w:val="32"/>
          <w:lang w:eastAsia="zh-CN"/>
        </w:rPr>
        <w:t>本项目位于</w:t>
      </w:r>
      <w:r>
        <w:rPr>
          <w:rFonts w:hint="eastAsia" w:ascii="宋体" w:hAnsi="宋体"/>
          <w:color w:val="000000"/>
          <w:sz w:val="32"/>
          <w:szCs w:val="32"/>
        </w:rPr>
        <w:t>英吉沙县</w:t>
      </w:r>
      <w:r>
        <w:rPr>
          <w:rFonts w:hint="eastAsia" w:ascii="宋体" w:hAnsi="宋体"/>
          <w:color w:val="000000"/>
          <w:sz w:val="32"/>
          <w:szCs w:val="32"/>
          <w:lang w:eastAsia="zh-CN"/>
        </w:rPr>
        <w:t>艾古斯乡</w:t>
      </w:r>
      <w:r>
        <w:rPr>
          <w:rFonts w:hint="eastAsia" w:ascii="宋体" w:hAnsi="宋体"/>
          <w:color w:val="000000"/>
          <w:sz w:val="32"/>
          <w:szCs w:val="32"/>
        </w:rPr>
        <w:t>，建设内容</w:t>
      </w:r>
      <w:r>
        <w:rPr>
          <w:rFonts w:hint="eastAsia" w:ascii="宋体" w:hAnsi="宋体"/>
          <w:color w:val="000000"/>
          <w:sz w:val="32"/>
          <w:szCs w:val="32"/>
          <w:lang w:eastAsia="zh-CN"/>
        </w:rPr>
        <w:t>为艾古斯乡霍依拉麦力斯村渠道支渠1.542km，一斗渠1.091km，二斗渠0.498km，三斗渠0.411km，防渗总长度3.542km，配套渠系建筑物61座，其中新、重建节制分水闸26座，农桥18座，无节制分水闸14座，汇入口3座。渠道设计流量为0.6m³/s。闸门及其配套设施共计74套</w:t>
      </w:r>
      <w:r>
        <w:rPr>
          <w:rFonts w:hint="eastAsia" w:ascii="宋体" w:hAnsi="宋体"/>
          <w:color w:val="000000"/>
          <w:sz w:val="32"/>
          <w:szCs w:val="32"/>
          <w:lang w:val="en-US" w:eastAsia="zh-CN"/>
        </w:rPr>
        <w:t>。投资金额约为290万元。</w:t>
      </w:r>
    </w:p>
    <w:p>
      <w:pPr>
        <w:spacing w:line="240" w:lineRule="atLeast"/>
        <w:ind w:firstLine="640" w:firstLineChars="200"/>
        <w:rPr>
          <w:rFonts w:hint="eastAsia" w:ascii="宋体" w:hAnsi="宋体"/>
          <w:color w:val="000000"/>
          <w:sz w:val="32"/>
          <w:szCs w:val="32"/>
          <w:lang w:val="en-US" w:eastAsia="zh-CN"/>
        </w:rPr>
      </w:pPr>
      <w:r>
        <w:rPr>
          <w:rFonts w:hint="eastAsia" w:ascii="宋体" w:hAnsi="宋体"/>
          <w:color w:val="000000"/>
          <w:sz w:val="32"/>
          <w:szCs w:val="32"/>
        </w:rPr>
        <w:t>施工标段应具有独立法人资格和类似工程施工业绩的水利水电工程总承包叁级以上（含叁级）资质，监理标段要求具有独立法人资格和类似工程施工业绩的水利水电工程监理丙级以上（含丙级）资质；以上施工、监理投标企业均须</w:t>
      </w:r>
      <w:r>
        <w:rPr>
          <w:rFonts w:hint="eastAsia" w:ascii="宋体" w:hAnsi="宋体"/>
          <w:color w:val="000000"/>
          <w:sz w:val="32"/>
          <w:szCs w:val="32"/>
          <w:lang w:eastAsia="zh-CN"/>
        </w:rPr>
        <w:t>经</w:t>
      </w:r>
      <w:r>
        <w:rPr>
          <w:rFonts w:hint="eastAsia" w:ascii="宋体" w:hAnsi="宋体"/>
          <w:color w:val="000000"/>
          <w:sz w:val="32"/>
          <w:szCs w:val="32"/>
        </w:rPr>
        <w:t>新疆水利水电建设市场从业单位基本信息登记。</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（二）项目管理情况分析</w:t>
      </w:r>
    </w:p>
    <w:p>
      <w:pPr>
        <w:spacing w:line="240" w:lineRule="atLeast"/>
        <w:ind w:firstLine="640" w:firstLineChars="200"/>
        <w:rPr>
          <w:rFonts w:hint="eastAsia" w:ascii="宋体" w:hAnsi="宋体"/>
          <w:color w:val="000000"/>
          <w:sz w:val="32"/>
          <w:szCs w:val="32"/>
          <w:lang w:eastAsia="zh-CN"/>
        </w:rPr>
      </w:pPr>
      <w:r>
        <w:rPr>
          <w:rFonts w:hint="eastAsia" w:ascii="宋体" w:hAnsi="宋体"/>
          <w:color w:val="000000"/>
          <w:sz w:val="32"/>
          <w:szCs w:val="32"/>
          <w:lang w:eastAsia="zh-CN"/>
        </w:rPr>
        <w:t>艾古斯乡</w:t>
      </w:r>
      <w:r>
        <w:rPr>
          <w:rFonts w:hint="eastAsia" w:ascii="宋体" w:hAnsi="宋体"/>
          <w:color w:val="000000"/>
          <w:sz w:val="32"/>
          <w:szCs w:val="32"/>
          <w:lang w:val="en-US" w:eastAsia="zh-CN"/>
        </w:rPr>
        <w:t>7</w:t>
      </w:r>
      <w:r>
        <w:rPr>
          <w:rFonts w:hint="eastAsia" w:ascii="宋体" w:hAnsi="宋体"/>
          <w:color w:val="000000"/>
          <w:sz w:val="32"/>
          <w:szCs w:val="32"/>
          <w:lang w:eastAsia="zh-CN"/>
        </w:rPr>
        <w:t>村渠为渠道防渗工程，现管理单位为县水管总站艾古斯乡分站。在工程管理中，积极推行岗位责任制，确保工程的正常运行。加强水法宣传，以水养水，保证水利工程的良性循环。</w:t>
      </w:r>
    </w:p>
    <w:p>
      <w:pPr>
        <w:spacing w:line="240" w:lineRule="atLeast"/>
        <w:ind w:firstLine="640" w:firstLineChars="200"/>
        <w:rPr>
          <w:rFonts w:hint="eastAsia" w:ascii="宋体" w:hAnsi="宋体"/>
          <w:color w:val="000000"/>
          <w:sz w:val="32"/>
          <w:szCs w:val="32"/>
          <w:lang w:eastAsia="zh-CN"/>
        </w:rPr>
      </w:pPr>
      <w:r>
        <w:rPr>
          <w:rFonts w:hint="eastAsia" w:ascii="宋体" w:hAnsi="宋体"/>
          <w:color w:val="000000"/>
          <w:sz w:val="32"/>
          <w:szCs w:val="32"/>
          <w:lang w:eastAsia="zh-CN"/>
        </w:rPr>
        <w:t>在渠道的运行过程中，应定期进行修补、维修。这些工作在春季进行。项目建设管理按有关规定严格实行项目业主责任制、招投标制和项目建设监理制。</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四、项目绩效情况</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（一）项目绩效目标完成情况分析</w:t>
      </w:r>
    </w:p>
    <w:p>
      <w:pPr>
        <w:adjustRightInd w:val="0"/>
        <w:snapToGrid w:val="0"/>
        <w:spacing w:line="560" w:lineRule="exact"/>
        <w:ind w:firstLine="640" w:firstLineChars="200"/>
        <w:rPr>
          <w:rFonts w:hint="eastAsia" w:ascii="宋体" w:hAnsi="宋体"/>
          <w:color w:val="000000"/>
          <w:sz w:val="32"/>
          <w:szCs w:val="32"/>
        </w:rPr>
      </w:pPr>
      <w:r>
        <w:rPr>
          <w:rFonts w:hint="eastAsia" w:ascii="宋体" w:hAnsi="宋体"/>
          <w:color w:val="000000"/>
          <w:sz w:val="32"/>
          <w:szCs w:val="32"/>
        </w:rPr>
        <w:t>本项目共设置一级指标</w:t>
      </w:r>
      <w:r>
        <w:rPr>
          <w:rFonts w:hint="eastAsia" w:ascii="宋体" w:hAnsi="宋体"/>
          <w:color w:val="000000"/>
          <w:sz w:val="32"/>
          <w:szCs w:val="32"/>
          <w:lang w:val="en-US" w:eastAsia="zh-CN"/>
        </w:rPr>
        <w:t>3</w:t>
      </w:r>
      <w:r>
        <w:rPr>
          <w:rFonts w:hint="eastAsia" w:ascii="宋体" w:hAnsi="宋体"/>
          <w:color w:val="000000"/>
          <w:sz w:val="32"/>
          <w:szCs w:val="32"/>
        </w:rPr>
        <w:t>个，二级指标</w:t>
      </w:r>
      <w:r>
        <w:rPr>
          <w:rFonts w:hint="eastAsia" w:ascii="宋体" w:hAnsi="宋体"/>
          <w:color w:val="000000"/>
          <w:sz w:val="32"/>
          <w:szCs w:val="32"/>
          <w:lang w:val="en-US" w:eastAsia="zh-CN"/>
        </w:rPr>
        <w:t>9</w:t>
      </w:r>
      <w:r>
        <w:rPr>
          <w:rFonts w:hint="eastAsia" w:ascii="宋体" w:hAnsi="宋体"/>
          <w:color w:val="000000"/>
          <w:sz w:val="32"/>
          <w:szCs w:val="32"/>
        </w:rPr>
        <w:t>个，三级指标</w:t>
      </w:r>
      <w:r>
        <w:rPr>
          <w:rFonts w:hint="eastAsia" w:ascii="宋体" w:hAnsi="宋体"/>
          <w:color w:val="000000"/>
          <w:sz w:val="32"/>
          <w:szCs w:val="32"/>
          <w:lang w:val="en-US" w:eastAsia="zh-CN"/>
        </w:rPr>
        <w:t>12</w:t>
      </w:r>
      <w:r>
        <w:rPr>
          <w:rFonts w:hint="eastAsia" w:ascii="宋体" w:hAnsi="宋体"/>
          <w:color w:val="000000"/>
          <w:sz w:val="32"/>
          <w:szCs w:val="32"/>
        </w:rPr>
        <w:t>个，其中已完成三级指标</w:t>
      </w:r>
      <w:r>
        <w:rPr>
          <w:rFonts w:hint="eastAsia" w:ascii="宋体" w:hAnsi="宋体"/>
          <w:color w:val="000000"/>
          <w:sz w:val="32"/>
          <w:szCs w:val="32"/>
          <w:lang w:val="en-US" w:eastAsia="zh-CN"/>
        </w:rPr>
        <w:t>11</w:t>
      </w:r>
      <w:r>
        <w:rPr>
          <w:rFonts w:hint="eastAsia" w:ascii="宋体" w:hAnsi="宋体"/>
          <w:color w:val="000000"/>
          <w:sz w:val="32"/>
          <w:szCs w:val="32"/>
        </w:rPr>
        <w:t>个，指标完成率为</w:t>
      </w:r>
      <w:r>
        <w:rPr>
          <w:rFonts w:hint="eastAsia" w:ascii="宋体" w:hAnsi="宋体"/>
          <w:color w:val="000000"/>
          <w:sz w:val="32"/>
          <w:szCs w:val="32"/>
          <w:lang w:val="en-US" w:eastAsia="zh-CN"/>
        </w:rPr>
        <w:t>100</w:t>
      </w:r>
      <w:r>
        <w:rPr>
          <w:rFonts w:hint="eastAsia" w:ascii="宋体" w:hAnsi="宋体"/>
          <w:color w:val="000000"/>
          <w:sz w:val="32"/>
          <w:szCs w:val="32"/>
        </w:rPr>
        <w:t>%。</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宋体" w:hAnsi="宋体"/>
          <w:color w:val="000000"/>
          <w:sz w:val="32"/>
          <w:szCs w:val="32"/>
          <w:lang w:val="en-US" w:eastAsia="zh-CN"/>
        </w:rPr>
      </w:pPr>
      <w:r>
        <w:rPr>
          <w:rFonts w:hint="eastAsia" w:ascii="宋体" w:hAnsi="宋体"/>
          <w:color w:val="000000"/>
          <w:sz w:val="32"/>
          <w:szCs w:val="32"/>
          <w:lang w:eastAsia="zh-CN"/>
        </w:rPr>
        <w:t>艾古斯乡霍依拉麦力斯村渠道支渠1.542km，一斗渠1.091km，二斗渠0.498km，三斗渠0.411km，防渗总长度3.542km，配套渠系建筑物61座，其中新、重建节制分水闸26座，农桥18座，无节制分水闸14座，汇入口3座。渠道设计流量为0.6m³/s。闸门及其配套设施共计74套</w:t>
      </w:r>
      <w:r>
        <w:rPr>
          <w:rFonts w:hint="eastAsia" w:ascii="宋体" w:hAnsi="宋体"/>
          <w:color w:val="00000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（1）项目完成数量。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color w:val="000000" w:themeColor="text1"/>
          <w:sz w:val="32"/>
          <w:szCs w:val="32"/>
          <w:lang w:val="en-US" w:eastAsia="zh-CN"/>
        </w:rPr>
        <w:t>英吉沙县</w:t>
      </w:r>
      <w:r>
        <w:rPr>
          <w:rFonts w:hint="eastAsia" w:ascii="宋体" w:hAnsi="宋体"/>
          <w:color w:val="000000"/>
          <w:sz w:val="32"/>
          <w:szCs w:val="32"/>
          <w:lang w:eastAsia="zh-CN"/>
        </w:rPr>
        <w:t>艾古斯乡霍依拉麦力斯村渠道防渗工程</w:t>
      </w:r>
      <w:r>
        <w:rPr>
          <w:rFonts w:hint="eastAsia" w:ascii="仿宋" w:hAnsi="仿宋" w:eastAsia="仿宋" w:cs="仿宋"/>
          <w:sz w:val="32"/>
          <w:szCs w:val="32"/>
          <w:lang w:val="en-US" w:eastAsia="zh-CN"/>
        </w:rPr>
        <w:t>，已建设完成，并通过单位工程验收。</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（2）项目完成质量。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在项目工程质量方面，我单位严格按照相关规定，对质量进行严格管控，相关项目委托第三方进行检测，质量能够达到要求。</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（1）项目实施的经济效益分析。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通过开展项目的建设实施，水利用率明显增加，从而达到节水效率。</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（2）项目实施的社会效益分析。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sz w:val="32"/>
          <w:szCs w:val="32"/>
          <w:lang w:val="en-US" w:eastAsia="zh-CN"/>
        </w:rPr>
        <w:t>项目建成后，能有效提高水资源利用率，降低生产成本，提高作物的品质</w:t>
      </w:r>
      <w:r>
        <w:rPr>
          <w:rFonts w:hint="eastAsia" w:ascii="仿宋" w:hAnsi="仿宋" w:eastAsia="仿宋" w:cs="仿宋"/>
          <w:color w:val="000000" w:themeColor="text1"/>
          <w:sz w:val="32"/>
          <w:szCs w:val="32"/>
          <w:lang w:val="en-US" w:eastAsia="zh-CN"/>
        </w:rPr>
        <w:t>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（3）项目实施的生态效益分析。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项目实施后，经济效益、生态效益、社会效益十分显著，将对该地区水资源高效利用，促进节约用水，减少灌溉劳动投入，增加农民收入，全面建设小康社会产生巨大的推动作用。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3、满意度指标完成情况分析。</w:t>
      </w:r>
    </w:p>
    <w:p>
      <w:pPr>
        <w:adjustRightInd w:val="0"/>
        <w:snapToGrid w:val="0"/>
        <w:spacing w:line="560" w:lineRule="exact"/>
        <w:ind w:firstLine="640" w:firstLineChars="200"/>
        <w:outlineLvl w:val="0"/>
        <w:rPr>
          <w:rStyle w:val="19"/>
          <w:rFonts w:ascii="楷体" w:hAnsi="楷体" w:eastAsia="楷体"/>
          <w:bCs w:val="0"/>
          <w:color w:val="000000" w:themeColor="text1"/>
          <w:spacing w:val="-4"/>
          <w:sz w:val="32"/>
          <w:szCs w:val="32"/>
        </w:rPr>
      </w:pPr>
      <w:r>
        <w:rPr>
          <w:rFonts w:hint="eastAsia" w:ascii="仿宋" w:hAnsi="仿宋" w:eastAsia="仿宋" w:cs="仿宋"/>
          <w:color w:val="000000" w:themeColor="text1"/>
          <w:sz w:val="32"/>
          <w:szCs w:val="32"/>
          <w:lang w:val="en-US" w:eastAsia="zh-CN"/>
        </w:rPr>
        <w:t>通过项目的实施，水利基础设施不断改善，灌溉条件得到有效改善，最终受益为项目区广大农民群众，农民收入不断提高，得到农民群众的肯定。</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2018年本项目绩效目标全部达成。</w:t>
      </w:r>
    </w:p>
    <w:p>
      <w:pPr>
        <w:adjustRightInd w:val="0"/>
        <w:snapToGrid w:val="0"/>
        <w:spacing w:line="560" w:lineRule="exact"/>
        <w:ind w:firstLine="624" w:firstLineChars="200"/>
        <w:outlineLvl w:val="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（一）后续工作计划</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lang w:eastAsia="zh-CN"/>
        </w:rPr>
        <w:t>该</w:t>
      </w:r>
      <w:r>
        <w:rPr>
          <w:rFonts w:ascii="仿宋" w:hAnsi="仿宋" w:eastAsia="仿宋"/>
          <w:bCs/>
          <w:color w:val="000000" w:themeColor="text1"/>
          <w:spacing w:val="-4"/>
          <w:sz w:val="32"/>
          <w:szCs w:val="32"/>
        </w:rPr>
        <w:t>项目</w:t>
      </w:r>
      <w:r>
        <w:rPr>
          <w:rFonts w:hint="eastAsia" w:ascii="仿宋" w:hAnsi="仿宋" w:eastAsia="仿宋"/>
          <w:bCs/>
          <w:color w:val="000000" w:themeColor="text1"/>
          <w:spacing w:val="-4"/>
          <w:sz w:val="32"/>
          <w:szCs w:val="32"/>
          <w:lang w:eastAsia="zh-CN"/>
        </w:rPr>
        <w:t>完工后</w:t>
      </w:r>
      <w:r>
        <w:rPr>
          <w:rFonts w:ascii="仿宋" w:hAnsi="仿宋" w:eastAsia="仿宋"/>
          <w:bCs/>
          <w:color w:val="000000" w:themeColor="text1"/>
          <w:spacing w:val="-4"/>
          <w:sz w:val="32"/>
          <w:szCs w:val="32"/>
        </w:rPr>
        <w:t>移交</w:t>
      </w:r>
      <w:r>
        <w:rPr>
          <w:rFonts w:hint="eastAsia" w:ascii="仿宋" w:hAnsi="仿宋" w:eastAsia="仿宋"/>
          <w:bCs/>
          <w:color w:val="000000" w:themeColor="text1"/>
          <w:spacing w:val="-4"/>
          <w:sz w:val="32"/>
          <w:szCs w:val="32"/>
          <w:lang w:eastAsia="zh-CN"/>
        </w:rPr>
        <w:t>给英吉沙县水管总站</w:t>
      </w:r>
      <w:r>
        <w:rPr>
          <w:rFonts w:ascii="仿宋" w:hAnsi="仿宋" w:eastAsia="仿宋"/>
          <w:bCs/>
          <w:color w:val="000000" w:themeColor="text1"/>
          <w:spacing w:val="-4"/>
          <w:sz w:val="32"/>
          <w:szCs w:val="32"/>
        </w:rPr>
        <w:t>后续管理</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（二）主要经验及做法、存在问题和建议</w:t>
      </w:r>
    </w:p>
    <w:p>
      <w:pPr>
        <w:adjustRightInd w:val="0"/>
        <w:snapToGrid w:val="0"/>
        <w:spacing w:line="560" w:lineRule="exact"/>
        <w:ind w:firstLine="616" w:firstLineChars="200"/>
        <w:rPr>
          <w:rFonts w:hint="eastAsia" w:ascii="仿宋" w:hAnsi="仿宋" w:eastAsia="仿宋" w:cs="仿宋"/>
          <w:bCs/>
          <w:color w:val="000000" w:themeColor="text1"/>
          <w:spacing w:val="-6"/>
          <w:sz w:val="32"/>
          <w:szCs w:val="32"/>
        </w:rPr>
      </w:pPr>
      <w:r>
        <w:rPr>
          <w:rFonts w:hint="eastAsia" w:ascii="仿宋" w:hAnsi="仿宋" w:eastAsia="仿宋" w:cs="仿宋"/>
          <w:bCs/>
          <w:color w:val="000000" w:themeColor="text1"/>
          <w:spacing w:val="-6"/>
          <w:sz w:val="32"/>
          <w:szCs w:val="32"/>
          <w:lang w:eastAsia="zh-CN"/>
        </w:rPr>
        <w:t>英吉沙</w:t>
      </w:r>
      <w:r>
        <w:rPr>
          <w:rFonts w:hint="eastAsia" w:ascii="仿宋" w:hAnsi="仿宋" w:eastAsia="仿宋" w:cs="仿宋"/>
          <w:bCs/>
          <w:color w:val="000000" w:themeColor="text1"/>
          <w:spacing w:val="-6"/>
          <w:sz w:val="32"/>
          <w:szCs w:val="32"/>
        </w:rPr>
        <w:t>县水利局在水利工程资金管理使用上，严格监督执行部门按照项目资金管理办法执行，实行了专帐管理、单独核算、专款专用。在财务管理、资金拨付和帐户管理等方面采用了报账制。在项目招标、合同签订、结算、竣工决算等程序中严格执行投资预算、不允许存在投资超概算或投资规模失控的现象。</w:t>
      </w:r>
    </w:p>
    <w:p>
      <w:pPr>
        <w:adjustRightInd w:val="0"/>
        <w:snapToGrid w:val="0"/>
        <w:spacing w:line="560" w:lineRule="exact"/>
        <w:ind w:firstLine="616" w:firstLineChars="200"/>
        <w:rPr>
          <w:rFonts w:hint="eastAsia" w:ascii="仿宋" w:hAnsi="仿宋" w:eastAsia="仿宋" w:cs="仿宋"/>
          <w:bCs/>
          <w:color w:val="000000" w:themeColor="text1"/>
          <w:spacing w:val="-6"/>
          <w:sz w:val="32"/>
          <w:szCs w:val="32"/>
        </w:rPr>
      </w:pPr>
      <w:r>
        <w:rPr>
          <w:rFonts w:hint="eastAsia" w:ascii="仿宋" w:hAnsi="仿宋" w:eastAsia="仿宋" w:cs="仿宋"/>
          <w:bCs/>
          <w:color w:val="000000" w:themeColor="text1"/>
          <w:spacing w:val="-6"/>
          <w:sz w:val="32"/>
          <w:szCs w:val="32"/>
        </w:rPr>
        <w:t>项目资金审批流程，由局财务会计根据已完成招标的项目填写财政专项资金审批表，由发改、分管县长、主管财务县长、财政局局长联合审批后，县财政大平台系统将专项资金拨付到财政专户中，由财政专户直接支付给各施工单位。此项目资金支付不存在滞留、挤占、截留、挪用项目资金等违规违法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无其他说明内容。</w:t>
      </w:r>
    </w:p>
    <w:p>
      <w:pPr>
        <w:numPr>
          <w:ilvl w:val="0"/>
          <w:numId w:val="2"/>
        </w:numPr>
        <w:adjustRightInd w:val="0"/>
        <w:snapToGrid w:val="0"/>
        <w:spacing w:line="560" w:lineRule="exact"/>
        <w:ind w:firstLine="624" w:firstLineChars="2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项目评价工作情况</w:t>
      </w:r>
    </w:p>
    <w:p>
      <w:pPr>
        <w:numPr>
          <w:ilvl w:val="0"/>
          <w:numId w:val="0"/>
        </w:numPr>
        <w:adjustRightInd w:val="0"/>
        <w:snapToGrid w:val="0"/>
        <w:spacing w:line="560" w:lineRule="exact"/>
        <w:ind w:firstLine="616" w:firstLineChars="200"/>
        <w:rPr>
          <w:rFonts w:ascii="黑体" w:hAnsi="黑体" w:eastAsia="黑体"/>
          <w:bCs/>
          <w:spacing w:val="-4"/>
          <w:sz w:val="32"/>
          <w:szCs w:val="32"/>
        </w:rPr>
      </w:pPr>
      <w:r>
        <w:rPr>
          <w:rFonts w:hint="eastAsia" w:ascii="仿宋" w:hAnsi="仿宋" w:eastAsia="仿宋" w:cs="仿宋"/>
          <w:bCs/>
          <w:color w:val="000000" w:themeColor="text1"/>
          <w:spacing w:val="-6"/>
          <w:sz w:val="32"/>
          <w:szCs w:val="32"/>
        </w:rPr>
        <w:t>本次评价通过文件研读、实地调研、数据分析等方式，全面了解201</w:t>
      </w:r>
      <w:r>
        <w:rPr>
          <w:rFonts w:hint="eastAsia" w:ascii="仿宋" w:hAnsi="仿宋" w:eastAsia="仿宋" w:cs="仿宋"/>
          <w:bCs/>
          <w:color w:val="000000" w:themeColor="text1"/>
          <w:spacing w:val="-6"/>
          <w:sz w:val="32"/>
          <w:szCs w:val="32"/>
          <w:lang w:val="en-US" w:eastAsia="zh-CN"/>
        </w:rPr>
        <w:t>8</w:t>
      </w:r>
      <w:r>
        <w:rPr>
          <w:rFonts w:hint="eastAsia" w:ascii="仿宋" w:hAnsi="仿宋" w:eastAsia="仿宋" w:cs="仿宋"/>
          <w:bCs/>
          <w:color w:val="000000" w:themeColor="text1"/>
          <w:spacing w:val="-6"/>
          <w:sz w:val="32"/>
          <w:szCs w:val="32"/>
        </w:rPr>
        <w:t>年</w:t>
      </w:r>
      <w:r>
        <w:rPr>
          <w:rFonts w:hint="eastAsia" w:ascii="仿宋" w:hAnsi="仿宋" w:eastAsia="仿宋" w:cs="仿宋"/>
          <w:bCs/>
          <w:color w:val="000000" w:themeColor="text1"/>
          <w:spacing w:val="-6"/>
          <w:sz w:val="32"/>
          <w:szCs w:val="32"/>
          <w:lang w:eastAsia="zh-CN"/>
        </w:rPr>
        <w:t>英吉沙</w:t>
      </w:r>
      <w:r>
        <w:rPr>
          <w:rFonts w:hint="eastAsia" w:ascii="仿宋" w:hAnsi="仿宋" w:eastAsia="仿宋" w:cs="仿宋"/>
          <w:bCs/>
          <w:color w:val="000000" w:themeColor="text1"/>
          <w:spacing w:val="-6"/>
          <w:sz w:val="32"/>
          <w:szCs w:val="32"/>
        </w:rPr>
        <w:t>县以工代赈渠系防渗建设项目资金的使用效率和效果，项目管理过程规范，按照实施方案完成了预期绩效目标等。</w:t>
      </w:r>
    </w:p>
    <w:p>
      <w:pPr>
        <w:adjustRightInd w:val="0"/>
        <w:snapToGrid w:val="0"/>
        <w:spacing w:line="560" w:lineRule="exact"/>
        <w:ind w:firstLine="624" w:firstLineChars="200"/>
        <w:outlineLvl w:val="0"/>
        <w:rPr>
          <w:rStyle w:val="19"/>
          <w:rFonts w:ascii="仿宋" w:hAnsi="仿宋" w:eastAsia="仿宋"/>
          <w:spacing w:val="-4"/>
          <w:sz w:val="32"/>
          <w:szCs w:val="32"/>
        </w:rPr>
      </w:pPr>
      <w:r>
        <w:rPr>
          <w:rStyle w:val="19"/>
          <w:rFonts w:hint="eastAsia" w:ascii="黑体" w:hAnsi="黑体" w:eastAsia="黑体"/>
          <w:b w:val="0"/>
          <w:spacing w:val="-4"/>
          <w:sz w:val="32"/>
          <w:szCs w:val="32"/>
        </w:rPr>
        <w:t>七、附表</w:t>
      </w: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FC20F1"/>
    <w:multiLevelType w:val="singleLevel"/>
    <w:tmpl w:val="F1FC20F1"/>
    <w:lvl w:ilvl="0" w:tentative="0">
      <w:start w:val="6"/>
      <w:numFmt w:val="chineseCounting"/>
      <w:suff w:val="nothing"/>
      <w:lvlText w:val="%1、"/>
      <w:lvlJc w:val="left"/>
      <w:rPr>
        <w:rFonts w:hint="eastAsia"/>
      </w:rPr>
    </w:lvl>
  </w:abstractNum>
  <w:abstractNum w:abstractNumId="1">
    <w:nsid w:val="0F27D767"/>
    <w:multiLevelType w:val="singleLevel"/>
    <w:tmpl w:val="0F27D767"/>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3B30ED"/>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1D410C3"/>
    <w:rsid w:val="11A02F2F"/>
    <w:rsid w:val="16A12614"/>
    <w:rsid w:val="18A82920"/>
    <w:rsid w:val="1E453A9F"/>
    <w:rsid w:val="217E7B66"/>
    <w:rsid w:val="21A005D7"/>
    <w:rsid w:val="2216056C"/>
    <w:rsid w:val="2DBA6724"/>
    <w:rsid w:val="32690356"/>
    <w:rsid w:val="3B9402F9"/>
    <w:rsid w:val="3DC94109"/>
    <w:rsid w:val="40E571D3"/>
    <w:rsid w:val="49F65236"/>
    <w:rsid w:val="549275CD"/>
    <w:rsid w:val="559B071E"/>
    <w:rsid w:val="633F10BE"/>
    <w:rsid w:val="6E992E77"/>
    <w:rsid w:val="748F5D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3"/>
    <w:qFormat/>
    <w:uiPriority w:val="9"/>
    <w:rPr>
      <w:rFonts w:asciiTheme="majorHAnsi" w:hAnsiTheme="majorHAnsi" w:eastAsiaTheme="majorEastAsia"/>
      <w:b/>
      <w:bCs/>
      <w:kern w:val="32"/>
      <w:sz w:val="32"/>
      <w:szCs w:val="32"/>
    </w:rPr>
  </w:style>
  <w:style w:type="character" w:customStyle="1" w:styleId="22">
    <w:name w:val="标题 2 Char"/>
    <w:basedOn w:val="18"/>
    <w:link w:val="2"/>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8"/>
    <w:link w:val="14"/>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1</TotalTime>
  <ScaleCrop>false</ScaleCrop>
  <LinksUpToDate>false</LinksUpToDate>
  <CharactersWithSpaces>2449</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2019-09-19T11:11:11Z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